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552" w:rsidRPr="00866A6B" w:rsidRDefault="00F34EED" w:rsidP="00866A6B">
      <w:pPr>
        <w:pStyle w:val="Heading1"/>
        <w:shd w:val="clear" w:color="auto" w:fill="0070C0"/>
        <w:jc w:val="center"/>
        <w:rPr>
          <w:rFonts w:ascii="Franklin Gothic Medium Cond" w:eastAsia="Times New Roman" w:hAnsi="Franklin Gothic Medium Cond"/>
          <w:color w:val="FFFFFF" w:themeColor="background1"/>
          <w:lang w:eastAsia="en-CA"/>
        </w:rPr>
      </w:pPr>
      <w:r w:rsidRPr="00866A6B">
        <w:rPr>
          <w:rFonts w:ascii="Franklin Gothic Medium Cond" w:eastAsia="Times New Roman" w:hAnsi="Franklin Gothic Medium Cond"/>
          <w:color w:val="FFFFFF" w:themeColor="background1"/>
          <w:lang w:eastAsia="en-CA"/>
        </w:rPr>
        <w:t>Immunization Coverage and Exemption Rates</w:t>
      </w:r>
      <w:r w:rsidR="00866A6B">
        <w:rPr>
          <w:rFonts w:ascii="Franklin Gothic Medium Cond" w:eastAsia="Times New Roman" w:hAnsi="Franklin Gothic Medium Cond"/>
          <w:color w:val="FFFFFF" w:themeColor="background1"/>
          <w:lang w:eastAsia="en-CA"/>
        </w:rPr>
        <w:t xml:space="preserve"> – </w:t>
      </w:r>
      <w:r w:rsidR="00F96552" w:rsidRPr="00866A6B">
        <w:rPr>
          <w:rFonts w:ascii="Franklin Gothic Medium Cond" w:eastAsia="Times New Roman" w:hAnsi="Franklin Gothic Medium Cond"/>
          <w:color w:val="FFFFFF" w:themeColor="background1"/>
          <w:lang w:eastAsia="en-CA"/>
        </w:rPr>
        <w:t>Technical Notes</w:t>
      </w:r>
    </w:p>
    <w:p w:rsidR="00F96552" w:rsidRPr="00866A6B" w:rsidRDefault="004C4E50" w:rsidP="00F34EED">
      <w:pPr>
        <w:numPr>
          <w:ilvl w:val="0"/>
          <w:numId w:val="1"/>
        </w:numPr>
        <w:spacing w:before="100" w:beforeAutospacing="1" w:after="100" w:afterAutospacing="1"/>
        <w:ind w:left="495"/>
        <w:rPr>
          <w:rFonts w:eastAsia="Times New Roman" w:cstheme="minorHAnsi"/>
          <w:color w:val="000000"/>
          <w:sz w:val="24"/>
          <w:szCs w:val="24"/>
          <w:lang w:eastAsia="en-CA"/>
        </w:rPr>
      </w:pPr>
      <w:r w:rsidRPr="00866A6B">
        <w:rPr>
          <w:rFonts w:eastAsia="Times New Roman" w:cstheme="minorHAnsi"/>
          <w:color w:val="000000"/>
          <w:sz w:val="24"/>
          <w:szCs w:val="24"/>
          <w:lang w:eastAsia="en-CA"/>
        </w:rPr>
        <w:t xml:space="preserve">The data was taken on </w:t>
      </w:r>
      <w:r w:rsidR="00A65E25">
        <w:rPr>
          <w:rFonts w:eastAsia="Times New Roman" w:cstheme="minorHAnsi"/>
          <w:color w:val="000000"/>
          <w:sz w:val="24"/>
          <w:szCs w:val="24"/>
          <w:lang w:eastAsia="en-CA"/>
        </w:rPr>
        <w:t>August 10</w:t>
      </w:r>
      <w:r w:rsidR="00866A6B">
        <w:rPr>
          <w:rFonts w:eastAsia="Times New Roman" w:cstheme="minorHAnsi"/>
          <w:color w:val="000000"/>
          <w:sz w:val="24"/>
          <w:szCs w:val="24"/>
          <w:lang w:eastAsia="en-CA"/>
        </w:rPr>
        <w:t>, 202</w:t>
      </w:r>
      <w:r w:rsidR="005B5D58">
        <w:rPr>
          <w:rFonts w:eastAsia="Times New Roman" w:cstheme="minorHAnsi"/>
          <w:color w:val="000000"/>
          <w:sz w:val="24"/>
          <w:szCs w:val="24"/>
          <w:lang w:eastAsia="en-CA"/>
        </w:rPr>
        <w:t>2</w:t>
      </w:r>
      <w:r w:rsidR="00F96552" w:rsidRPr="00866A6B">
        <w:rPr>
          <w:rFonts w:eastAsia="Times New Roman" w:cstheme="minorHAnsi"/>
          <w:color w:val="000000"/>
          <w:sz w:val="24"/>
          <w:szCs w:val="24"/>
          <w:lang w:eastAsia="en-CA"/>
        </w:rPr>
        <w:t xml:space="preserve"> from Panorama, the provincial system </w:t>
      </w:r>
      <w:r w:rsidRPr="00866A6B">
        <w:rPr>
          <w:rFonts w:eastAsia="Times New Roman" w:cstheme="minorHAnsi"/>
          <w:color w:val="000000"/>
          <w:sz w:val="24"/>
          <w:szCs w:val="24"/>
          <w:lang w:eastAsia="en-CA"/>
        </w:rPr>
        <w:t>used for tracking immunizations</w:t>
      </w:r>
      <w:r w:rsidR="00A65E25">
        <w:rPr>
          <w:rFonts w:eastAsia="Times New Roman" w:cstheme="minorHAnsi"/>
          <w:color w:val="000000"/>
          <w:sz w:val="24"/>
          <w:szCs w:val="24"/>
          <w:lang w:eastAsia="en-CA"/>
        </w:rPr>
        <w:t>. Due to a technical issue, there was a delay in extracting the data, compared to previous years.</w:t>
      </w:r>
    </w:p>
    <w:p w:rsidR="00F96552" w:rsidRPr="00866A6B" w:rsidRDefault="00F96552" w:rsidP="00F34EED">
      <w:pPr>
        <w:numPr>
          <w:ilvl w:val="0"/>
          <w:numId w:val="1"/>
        </w:numPr>
        <w:spacing w:before="100" w:beforeAutospacing="1" w:after="100" w:afterAutospacing="1"/>
        <w:ind w:left="495"/>
        <w:rPr>
          <w:rFonts w:eastAsia="Times New Roman" w:cstheme="minorHAnsi"/>
          <w:color w:val="000000"/>
          <w:sz w:val="24"/>
          <w:szCs w:val="24"/>
          <w:lang w:eastAsia="en-CA"/>
        </w:rPr>
      </w:pPr>
      <w:r w:rsidRPr="00866A6B">
        <w:rPr>
          <w:rFonts w:eastAsia="Times New Roman" w:cstheme="minorHAnsi"/>
          <w:color w:val="000000"/>
          <w:sz w:val="24"/>
          <w:szCs w:val="24"/>
          <w:lang w:eastAsia="en-CA"/>
        </w:rPr>
        <w:t>The data captures immunization coverage rates</w:t>
      </w:r>
      <w:r w:rsidR="00B9566D" w:rsidRPr="00866A6B">
        <w:rPr>
          <w:rFonts w:eastAsia="Times New Roman" w:cstheme="minorHAnsi"/>
          <w:color w:val="000000"/>
          <w:sz w:val="24"/>
          <w:szCs w:val="24"/>
          <w:lang w:eastAsia="en-CA"/>
        </w:rPr>
        <w:t xml:space="preserve"> and philosophical exemption rates</w:t>
      </w:r>
      <w:r w:rsidRPr="00866A6B">
        <w:rPr>
          <w:rFonts w:eastAsia="Times New Roman" w:cstheme="minorHAnsi"/>
          <w:color w:val="000000"/>
          <w:sz w:val="24"/>
          <w:szCs w:val="24"/>
          <w:lang w:eastAsia="en-CA"/>
        </w:rPr>
        <w:t xml:space="preserve"> of </w:t>
      </w:r>
      <w:r w:rsidR="004C4E50" w:rsidRPr="00866A6B">
        <w:rPr>
          <w:rFonts w:eastAsia="Times New Roman" w:cstheme="minorHAnsi"/>
          <w:color w:val="000000"/>
          <w:sz w:val="24"/>
          <w:szCs w:val="24"/>
          <w:lang w:eastAsia="en-CA"/>
        </w:rPr>
        <w:t>Niagara</w:t>
      </w:r>
      <w:r w:rsidRPr="00866A6B">
        <w:rPr>
          <w:rFonts w:eastAsia="Times New Roman" w:cstheme="minorHAnsi"/>
          <w:color w:val="000000"/>
          <w:sz w:val="24"/>
          <w:szCs w:val="24"/>
          <w:lang w:eastAsia="en-CA"/>
        </w:rPr>
        <w:t xml:space="preserve"> students, ages seven to 17 (born between 200</w:t>
      </w:r>
      <w:r w:rsidR="00231AD9">
        <w:rPr>
          <w:rFonts w:eastAsia="Times New Roman" w:cstheme="minorHAnsi"/>
          <w:color w:val="000000"/>
          <w:sz w:val="24"/>
          <w:szCs w:val="24"/>
          <w:lang w:eastAsia="en-CA"/>
        </w:rPr>
        <w:t>4</w:t>
      </w:r>
      <w:r w:rsidR="00866A6B">
        <w:rPr>
          <w:rFonts w:eastAsia="Times New Roman" w:cstheme="minorHAnsi"/>
          <w:color w:val="000000"/>
          <w:sz w:val="24"/>
          <w:szCs w:val="24"/>
          <w:lang w:eastAsia="en-CA"/>
        </w:rPr>
        <w:t xml:space="preserve"> and 201</w:t>
      </w:r>
      <w:r w:rsidR="00231AD9">
        <w:rPr>
          <w:rFonts w:eastAsia="Times New Roman" w:cstheme="minorHAnsi"/>
          <w:color w:val="000000"/>
          <w:sz w:val="24"/>
          <w:szCs w:val="24"/>
          <w:lang w:eastAsia="en-CA"/>
        </w:rPr>
        <w:t>4</w:t>
      </w:r>
      <w:r w:rsidR="008C3E76" w:rsidRPr="00866A6B">
        <w:rPr>
          <w:rFonts w:eastAsia="Times New Roman" w:cstheme="minorHAnsi"/>
          <w:color w:val="000000"/>
          <w:sz w:val="24"/>
          <w:szCs w:val="24"/>
          <w:lang w:eastAsia="en-CA"/>
        </w:rPr>
        <w:t>)</w:t>
      </w:r>
      <w:r w:rsidRPr="00866A6B">
        <w:rPr>
          <w:rFonts w:eastAsia="Times New Roman" w:cstheme="minorHAnsi"/>
          <w:color w:val="000000"/>
          <w:sz w:val="24"/>
          <w:szCs w:val="24"/>
          <w:lang w:eastAsia="en-CA"/>
        </w:rPr>
        <w:t xml:space="preserve"> by scho</w:t>
      </w:r>
      <w:r w:rsidR="00866A6B">
        <w:rPr>
          <w:rFonts w:eastAsia="Times New Roman" w:cstheme="minorHAnsi"/>
          <w:color w:val="000000"/>
          <w:sz w:val="24"/>
          <w:szCs w:val="24"/>
          <w:lang w:eastAsia="en-CA"/>
        </w:rPr>
        <w:t>ol, for the 202</w:t>
      </w:r>
      <w:r w:rsidR="005B5D58">
        <w:rPr>
          <w:rFonts w:eastAsia="Times New Roman" w:cstheme="minorHAnsi"/>
          <w:color w:val="000000"/>
          <w:sz w:val="24"/>
          <w:szCs w:val="24"/>
          <w:lang w:eastAsia="en-CA"/>
        </w:rPr>
        <w:t>1/2022</w:t>
      </w:r>
      <w:r w:rsidR="004C4E50" w:rsidRPr="00866A6B">
        <w:rPr>
          <w:rFonts w:eastAsia="Times New Roman" w:cstheme="minorHAnsi"/>
          <w:color w:val="000000"/>
          <w:sz w:val="24"/>
          <w:szCs w:val="24"/>
          <w:lang w:eastAsia="en-CA"/>
        </w:rPr>
        <w:t xml:space="preserve"> school year</w:t>
      </w:r>
    </w:p>
    <w:p w:rsidR="00B9566D" w:rsidRPr="00866A6B" w:rsidRDefault="00B9566D" w:rsidP="00F34EED">
      <w:pPr>
        <w:numPr>
          <w:ilvl w:val="0"/>
          <w:numId w:val="1"/>
        </w:numPr>
        <w:spacing w:before="100" w:beforeAutospacing="1" w:after="100" w:afterAutospacing="1"/>
        <w:ind w:left="495"/>
        <w:rPr>
          <w:rFonts w:eastAsia="Times New Roman" w:cstheme="minorHAnsi"/>
          <w:color w:val="000000"/>
          <w:sz w:val="24"/>
          <w:szCs w:val="24"/>
          <w:lang w:eastAsia="en-CA"/>
        </w:rPr>
      </w:pPr>
      <w:r w:rsidRPr="00866A6B">
        <w:rPr>
          <w:rFonts w:eastAsia="Times New Roman" w:cstheme="minorHAnsi"/>
          <w:color w:val="000000"/>
          <w:sz w:val="24"/>
          <w:szCs w:val="24"/>
          <w:lang w:eastAsia="en-CA"/>
        </w:rPr>
        <w:t>Immunization coverage and philosophical exemption rates are available for measles, mumps and rubella (</w:t>
      </w:r>
      <w:proofErr w:type="spellStart"/>
      <w:r w:rsidRPr="00866A6B">
        <w:rPr>
          <w:rFonts w:eastAsia="Times New Roman" w:cstheme="minorHAnsi"/>
          <w:color w:val="000000"/>
          <w:sz w:val="24"/>
          <w:szCs w:val="24"/>
          <w:lang w:eastAsia="en-CA"/>
        </w:rPr>
        <w:t>MMR</w:t>
      </w:r>
      <w:proofErr w:type="spellEnd"/>
      <w:r w:rsidRPr="00866A6B">
        <w:rPr>
          <w:rFonts w:eastAsia="Times New Roman" w:cstheme="minorHAnsi"/>
          <w:color w:val="000000"/>
          <w:sz w:val="24"/>
          <w:szCs w:val="24"/>
          <w:lang w:eastAsia="en-CA"/>
        </w:rPr>
        <w:t>), as well as diphtheria, tetanus and polio (DTP)</w:t>
      </w:r>
      <w:r w:rsidR="00BA3D95" w:rsidRPr="00866A6B">
        <w:rPr>
          <w:rFonts w:eastAsia="Times New Roman" w:cstheme="minorHAnsi"/>
          <w:color w:val="000000"/>
          <w:sz w:val="24"/>
          <w:szCs w:val="24"/>
          <w:lang w:eastAsia="en-CA"/>
        </w:rPr>
        <w:t xml:space="preserve">. Please note that the final doses for </w:t>
      </w:r>
      <w:proofErr w:type="spellStart"/>
      <w:r w:rsidR="00BA3D95" w:rsidRPr="00866A6B">
        <w:rPr>
          <w:rFonts w:eastAsia="Times New Roman" w:cstheme="minorHAnsi"/>
          <w:color w:val="000000"/>
          <w:sz w:val="24"/>
          <w:szCs w:val="24"/>
          <w:lang w:eastAsia="en-CA"/>
        </w:rPr>
        <w:t>MMR</w:t>
      </w:r>
      <w:proofErr w:type="spellEnd"/>
      <w:r w:rsidR="00BA3D95" w:rsidRPr="00866A6B">
        <w:rPr>
          <w:rFonts w:eastAsia="Times New Roman" w:cstheme="minorHAnsi"/>
          <w:color w:val="000000"/>
          <w:sz w:val="24"/>
          <w:szCs w:val="24"/>
          <w:lang w:eastAsia="en-CA"/>
        </w:rPr>
        <w:t xml:space="preserve">, as well as polio, occur between the ages of 4 and 6, while diphtheria and tetanus require an additional dose 10 years after the dose between the ages of 4 and 6. </w:t>
      </w:r>
    </w:p>
    <w:p w:rsidR="00F96552" w:rsidRPr="00866A6B" w:rsidRDefault="00F96552" w:rsidP="00F34EED">
      <w:pPr>
        <w:numPr>
          <w:ilvl w:val="0"/>
          <w:numId w:val="1"/>
        </w:numPr>
        <w:spacing w:before="100" w:beforeAutospacing="1" w:after="100" w:afterAutospacing="1"/>
        <w:ind w:left="495"/>
        <w:rPr>
          <w:rFonts w:eastAsia="Times New Roman" w:cstheme="minorHAnsi"/>
          <w:color w:val="000000"/>
          <w:sz w:val="24"/>
          <w:szCs w:val="24"/>
          <w:lang w:eastAsia="en-CA"/>
        </w:rPr>
      </w:pPr>
      <w:r w:rsidRPr="00866A6B">
        <w:rPr>
          <w:rFonts w:eastAsia="Times New Roman" w:cstheme="minorHAnsi"/>
          <w:color w:val="000000"/>
          <w:sz w:val="24"/>
          <w:szCs w:val="24"/>
          <w:lang w:eastAsia="en-CA"/>
        </w:rPr>
        <w:t>The immunization coverage rate is expressed as a proportion of students, who were complete for their age, for the particular vaccine antigens amongst all the students en</w:t>
      </w:r>
      <w:r w:rsidR="00866A6B">
        <w:rPr>
          <w:rFonts w:eastAsia="Times New Roman" w:cstheme="minorHAnsi"/>
          <w:color w:val="000000"/>
          <w:sz w:val="24"/>
          <w:szCs w:val="24"/>
          <w:lang w:eastAsia="en-CA"/>
        </w:rPr>
        <w:t>r</w:t>
      </w:r>
      <w:r w:rsidR="005B5D58">
        <w:rPr>
          <w:rFonts w:eastAsia="Times New Roman" w:cstheme="minorHAnsi"/>
          <w:color w:val="000000"/>
          <w:sz w:val="24"/>
          <w:szCs w:val="24"/>
          <w:lang w:eastAsia="en-CA"/>
        </w:rPr>
        <w:t>olled in the school for the 2021/22</w:t>
      </w:r>
      <w:r w:rsidR="00B9566D" w:rsidRPr="00866A6B">
        <w:rPr>
          <w:rFonts w:eastAsia="Times New Roman" w:cstheme="minorHAnsi"/>
          <w:color w:val="000000"/>
          <w:sz w:val="24"/>
          <w:szCs w:val="24"/>
          <w:lang w:eastAsia="en-CA"/>
        </w:rPr>
        <w:t xml:space="preserve"> school year</w:t>
      </w:r>
    </w:p>
    <w:p w:rsidR="00F96552" w:rsidRPr="00866A6B" w:rsidRDefault="00F96552" w:rsidP="00F34EED">
      <w:pPr>
        <w:numPr>
          <w:ilvl w:val="0"/>
          <w:numId w:val="1"/>
        </w:numPr>
        <w:spacing w:before="100" w:beforeAutospacing="1" w:after="100" w:afterAutospacing="1"/>
        <w:ind w:left="495"/>
        <w:rPr>
          <w:rFonts w:eastAsia="Times New Roman" w:cstheme="minorHAnsi"/>
          <w:color w:val="000000"/>
          <w:sz w:val="24"/>
          <w:szCs w:val="24"/>
          <w:lang w:eastAsia="en-CA"/>
        </w:rPr>
      </w:pPr>
      <w:r w:rsidRPr="00866A6B">
        <w:rPr>
          <w:rFonts w:eastAsia="Times New Roman" w:cstheme="minorHAnsi"/>
          <w:color w:val="000000"/>
          <w:sz w:val="24"/>
          <w:szCs w:val="24"/>
          <w:lang w:eastAsia="en-CA"/>
        </w:rPr>
        <w:t xml:space="preserve">Percentages for </w:t>
      </w:r>
      <w:r w:rsidR="004C4E50" w:rsidRPr="00866A6B">
        <w:rPr>
          <w:rFonts w:eastAsia="Times New Roman" w:cstheme="minorHAnsi"/>
          <w:color w:val="000000"/>
          <w:sz w:val="24"/>
          <w:szCs w:val="24"/>
          <w:lang w:eastAsia="en-CA"/>
        </w:rPr>
        <w:t>each school</w:t>
      </w:r>
      <w:r w:rsidRPr="00866A6B">
        <w:rPr>
          <w:rFonts w:eastAsia="Times New Roman" w:cstheme="minorHAnsi"/>
          <w:color w:val="000000"/>
          <w:sz w:val="24"/>
          <w:szCs w:val="24"/>
          <w:lang w:eastAsia="en-CA"/>
        </w:rPr>
        <w:t xml:space="preserve"> may not add up to 100</w:t>
      </w:r>
      <w:r w:rsidR="004C4E50" w:rsidRPr="00866A6B">
        <w:rPr>
          <w:rFonts w:eastAsia="Times New Roman" w:cstheme="minorHAnsi"/>
          <w:color w:val="000000"/>
          <w:sz w:val="24"/>
          <w:szCs w:val="24"/>
          <w:lang w:eastAsia="en-CA"/>
        </w:rPr>
        <w:t xml:space="preserve"> due to a variety of other reasons (medical exemptions, administrative exemptions, and not having submitted records to Public Health)</w:t>
      </w:r>
    </w:p>
    <w:p w:rsidR="00F96552" w:rsidRPr="00866A6B" w:rsidRDefault="004C4E50" w:rsidP="00F34EED">
      <w:pPr>
        <w:numPr>
          <w:ilvl w:val="0"/>
          <w:numId w:val="1"/>
        </w:numPr>
        <w:spacing w:before="100" w:beforeAutospacing="1" w:after="100" w:afterAutospacing="1"/>
        <w:ind w:left="495"/>
        <w:rPr>
          <w:rFonts w:eastAsia="Times New Roman" w:cstheme="minorHAnsi"/>
          <w:color w:val="000000"/>
          <w:sz w:val="24"/>
          <w:szCs w:val="24"/>
          <w:lang w:eastAsia="en-CA"/>
        </w:rPr>
      </w:pPr>
      <w:r w:rsidRPr="00866A6B">
        <w:rPr>
          <w:rFonts w:eastAsia="Times New Roman" w:cstheme="minorHAnsi"/>
          <w:color w:val="000000"/>
          <w:sz w:val="24"/>
          <w:szCs w:val="24"/>
          <w:lang w:eastAsia="en-CA"/>
        </w:rPr>
        <w:t>The four publicly-funded school boards, as well as</w:t>
      </w:r>
      <w:r w:rsidR="00B956D6">
        <w:rPr>
          <w:rFonts w:eastAsia="Times New Roman" w:cstheme="minorHAnsi"/>
          <w:color w:val="000000"/>
          <w:sz w:val="24"/>
          <w:szCs w:val="24"/>
          <w:lang w:eastAsia="en-CA"/>
        </w:rPr>
        <w:t>,</w:t>
      </w:r>
      <w:r w:rsidRPr="00866A6B">
        <w:rPr>
          <w:rFonts w:eastAsia="Times New Roman" w:cstheme="minorHAnsi"/>
          <w:color w:val="000000"/>
          <w:sz w:val="24"/>
          <w:szCs w:val="24"/>
          <w:lang w:eastAsia="en-CA"/>
        </w:rPr>
        <w:t xml:space="preserve"> private schools </w:t>
      </w:r>
      <w:r w:rsidR="00B956D6">
        <w:rPr>
          <w:rFonts w:eastAsia="Times New Roman" w:cstheme="minorHAnsi"/>
          <w:color w:val="000000"/>
          <w:sz w:val="24"/>
          <w:szCs w:val="24"/>
          <w:lang w:eastAsia="en-CA"/>
        </w:rPr>
        <w:t>are</w:t>
      </w:r>
      <w:r w:rsidRPr="00866A6B">
        <w:rPr>
          <w:rFonts w:eastAsia="Times New Roman" w:cstheme="minorHAnsi"/>
          <w:color w:val="000000"/>
          <w:sz w:val="24"/>
          <w:szCs w:val="24"/>
          <w:lang w:eastAsia="en-CA"/>
        </w:rPr>
        <w:t xml:space="preserve"> included in this dataset. Schools with fewer than 10 students enrolled are not available.</w:t>
      </w:r>
    </w:p>
    <w:p w:rsidR="00F96552" w:rsidRPr="00F34EED" w:rsidRDefault="00F96552">
      <w:pPr>
        <w:rPr>
          <w:rFonts w:ascii="Gill Sans MT" w:hAnsi="Gill Sans MT"/>
        </w:rPr>
      </w:pPr>
      <w:bookmarkStart w:id="0" w:name="_GoBack"/>
      <w:bookmarkEnd w:id="0"/>
    </w:p>
    <w:sectPr w:rsidR="00F96552" w:rsidRPr="00F34EE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EED" w:rsidRDefault="00F34EED" w:rsidP="00F34EED">
      <w:pPr>
        <w:spacing w:after="0" w:line="240" w:lineRule="auto"/>
      </w:pPr>
      <w:r>
        <w:separator/>
      </w:r>
    </w:p>
  </w:endnote>
  <w:endnote w:type="continuationSeparator" w:id="0">
    <w:p w:rsidR="00F34EED" w:rsidRDefault="00F34EED" w:rsidP="00F34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E76" w:rsidRDefault="00F34EED">
    <w:pPr>
      <w:pStyle w:val="Footer"/>
    </w:pPr>
    <w:r>
      <w:tab/>
    </w:r>
    <w:r>
      <w:tab/>
      <w:t xml:space="preserve">Last updated: </w:t>
    </w:r>
    <w:r w:rsidR="005B5D58">
      <w:t xml:space="preserve">August </w:t>
    </w:r>
    <w:r w:rsidR="00231AD9">
      <w:t>10</w:t>
    </w:r>
    <w:r w:rsidR="005B5D58">
      <w:t>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EED" w:rsidRDefault="00F34EED" w:rsidP="00F34EED">
      <w:pPr>
        <w:spacing w:after="0" w:line="240" w:lineRule="auto"/>
      </w:pPr>
      <w:r>
        <w:separator/>
      </w:r>
    </w:p>
  </w:footnote>
  <w:footnote w:type="continuationSeparator" w:id="0">
    <w:p w:rsidR="00F34EED" w:rsidRDefault="00F34EED" w:rsidP="00F34E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E0DA4"/>
    <w:multiLevelType w:val="multilevel"/>
    <w:tmpl w:val="1E82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552"/>
    <w:rsid w:val="00047AA6"/>
    <w:rsid w:val="00231AD9"/>
    <w:rsid w:val="004C4E50"/>
    <w:rsid w:val="005B5D58"/>
    <w:rsid w:val="007F00C8"/>
    <w:rsid w:val="00866A6B"/>
    <w:rsid w:val="008C3E76"/>
    <w:rsid w:val="009A0E45"/>
    <w:rsid w:val="00A65E25"/>
    <w:rsid w:val="00B9566D"/>
    <w:rsid w:val="00B956D6"/>
    <w:rsid w:val="00BA3D95"/>
    <w:rsid w:val="00F34EED"/>
    <w:rsid w:val="00F50E0D"/>
    <w:rsid w:val="00F9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12E8E"/>
  <w15:chartTrackingRefBased/>
  <w15:docId w15:val="{D12217BC-58D1-4DD0-AB25-1C3E2B38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4E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96552"/>
    <w:pPr>
      <w:spacing w:before="450" w:after="150" w:line="240" w:lineRule="auto"/>
      <w:outlineLvl w:val="1"/>
    </w:pPr>
    <w:rPr>
      <w:rFonts w:ascii="inherit" w:eastAsia="Times New Roman" w:hAnsi="inherit" w:cs="Times New Roman"/>
      <w:sz w:val="42"/>
      <w:szCs w:val="42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96552"/>
    <w:rPr>
      <w:rFonts w:ascii="inherit" w:eastAsia="Times New Roman" w:hAnsi="inherit" w:cs="Times New Roman"/>
      <w:sz w:val="42"/>
      <w:szCs w:val="42"/>
      <w:lang w:val="en-CA"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4C4E5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34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EED"/>
  </w:style>
  <w:style w:type="paragraph" w:styleId="Footer">
    <w:name w:val="footer"/>
    <w:basedOn w:val="Normal"/>
    <w:link w:val="FooterChar"/>
    <w:uiPriority w:val="99"/>
    <w:unhideWhenUsed/>
    <w:rsid w:val="00F34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7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823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9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4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Region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Skellet, Rachel</dc:creator>
  <cp:keywords/>
  <dc:description/>
  <cp:lastModifiedBy>Kirkwood, Amanda</cp:lastModifiedBy>
  <cp:revision>7</cp:revision>
  <dcterms:created xsi:type="dcterms:W3CDTF">2021-08-30T15:59:00Z</dcterms:created>
  <dcterms:modified xsi:type="dcterms:W3CDTF">2022-08-10T14:54:00Z</dcterms:modified>
</cp:coreProperties>
</file>